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aseline"/>
        <w:rPr>
          <w:rFonts w:hint="eastAsia" w:ascii="方正黑体_GBK" w:hAnsi="方正黑体_GBK" w:eastAsia="方正黑体_GBK" w:cs="方正黑体_GBK"/>
        </w:rPr>
      </w:pPr>
      <w:r>
        <w:rPr>
          <w:rFonts w:hint="eastAsia" w:ascii="方正黑体_GBK" w:hAnsi="方正黑体_GBK" w:eastAsia="方正黑体_GBK" w:cs="方正黑体_GBK"/>
        </w:rPr>
        <w:t>附件1</w:t>
      </w:r>
    </w:p>
    <w:p>
      <w:pPr>
        <w:spacing w:line="560" w:lineRule="exact"/>
        <w:ind w:firstLine="643" w:firstLineChars="200"/>
        <w:jc w:val="center"/>
        <w:textAlignment w:val="baseline"/>
        <w:rPr>
          <w:rFonts w:ascii="黑体" w:hAnsi="黑体" w:eastAsia="黑体" w:cs="黑体"/>
          <w:b/>
          <w:color w:val="auto"/>
          <w:sz w:val="32"/>
          <w:szCs w:val="32"/>
        </w:rPr>
      </w:pPr>
      <w:r>
        <w:rPr>
          <w:rFonts w:hint="eastAsia" w:ascii="黑体" w:hAnsi="黑体" w:eastAsia="黑体" w:cs="黑体"/>
          <w:b/>
          <w:color w:val="auto"/>
          <w:sz w:val="32"/>
          <w:szCs w:val="32"/>
        </w:rPr>
        <w:t>师德师风自查清单</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1、是否在公开场合讲授违反我国法律法规与社会主义核心价值观的内容、发表违背党的路线方针政策及有损党和国家声誉的负面和消极言论。</w:t>
      </w:r>
    </w:p>
    <w:p>
      <w:pPr>
        <w:spacing w:line="360" w:lineRule="auto"/>
        <w:jc w:val="left"/>
        <w:textAlignment w:val="baseline"/>
        <w:rPr>
          <w:rFonts w:ascii="方正仿宋_GBK" w:hAnsi="方正仿宋_GBK" w:cs="方正仿宋_GBK"/>
          <w:bCs w:val="0"/>
          <w:color w:val="auto"/>
          <w:sz w:val="28"/>
          <w:szCs w:val="28"/>
        </w:rPr>
      </w:pPr>
      <w:r>
        <w:rPr>
          <w:rFonts w:hint="eastAsia" w:ascii="方正仿宋_GBK" w:hAnsi="方正仿宋_GBK" w:cs="方正仿宋_GBK"/>
          <w:kern w:val="0"/>
          <w:sz w:val="28"/>
          <w:szCs w:val="28"/>
        </w:rPr>
        <w:t>2、是否存在损害国家利益、社会公共利益，或违背社会公序良俗的行为。</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3、线上线下教学过程中是否存在不当言行。</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4.选用或自编的教材、发表的论文、出版的书籍等是否存在不当内容。</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 xml:space="preserve">5.是否受到拜金主义、个人主义、享乐主义、奢靡之风等不良风气的侵蚀，存在价值观念扭曲、言行自由散漫、奋斗激情缺失、育人主业荒废的现象。 </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 xml:space="preserve">6.是否缺乏合作精神，互相拆台和贬低，在申报课题、职称认定等关系个人利益的活动中采取不正当的竞争手段，对同行嫉妒、排挤，严重破坏教师间的团结。 </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7.是否通过微信、QQ、网站、微博等新媒体平台或境外网站等及其他渠道发表、转发错误观点，或编造散布虚假信息、不良信息。</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8.是否存在言行粗暴，故意打击贬低学生的行为。</w:t>
      </w:r>
    </w:p>
    <w:p>
      <w:pPr>
        <w:spacing w:line="360" w:lineRule="auto"/>
        <w:jc w:val="left"/>
        <w:textAlignment w:val="baseline"/>
        <w:rPr>
          <w:rFonts w:ascii="方正仿宋_GBK" w:hAnsi="方正仿宋_GBK" w:cs="方正仿宋_GBK"/>
          <w:kern w:val="0"/>
          <w:sz w:val="28"/>
          <w:szCs w:val="28"/>
        </w:rPr>
      </w:pPr>
      <w:r>
        <w:rPr>
          <w:rFonts w:hint="eastAsia" w:ascii="方正仿宋_GBK" w:hAnsi="方正仿宋_GBK" w:cs="方正仿宋_GBK"/>
          <w:kern w:val="0"/>
          <w:sz w:val="28"/>
          <w:szCs w:val="28"/>
        </w:rPr>
        <w:t xml:space="preserve">9.是否与学生发生任何不正当关系，是否以学业为要挟对学生进行猥亵、性骚扰行为。 </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kern w:val="0"/>
          <w:sz w:val="28"/>
          <w:szCs w:val="28"/>
        </w:rPr>
        <w:t>10.是</w:t>
      </w:r>
      <w:r>
        <w:rPr>
          <w:rFonts w:hint="eastAsia" w:ascii="方正仿宋_GBK" w:hAnsi="方正仿宋_GBK" w:cs="方正仿宋_GBK"/>
          <w:color w:val="auto"/>
          <w:kern w:val="0"/>
          <w:sz w:val="28"/>
          <w:szCs w:val="28"/>
        </w:rPr>
        <w:t>否要求学生从事与教学、科研、社会服务无关的事宜。</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11.是否存在抄袭剽窃、篡改侵吞他人学术成果，或滥用学术资源和学术影响等学术不端行为。</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12.是否存在索要、收受学生及家长财物，参加由学生及家长付费的宴请、旅游、娱乐休闲等活动，或利用家长资源谋取私利。</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13.是否存在敷衍教学，不能完成教育教学任务的行为。</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14.是否擅自从事影响教育教学本职工作的兼职兼薪行为。</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15.是否存在假公济私，擅自利用学校名义或校名、校徽、专利、场所等资源谋取个人利益。</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16.是否存在在指导学生毕业实习与实践过程中</w:t>
      </w:r>
      <w:r>
        <w:rPr>
          <w:rFonts w:hint="eastAsia" w:ascii="宋体" w:hAnsi="宋体" w:eastAsia="宋体" w:cs="宋体"/>
          <w:color w:val="auto"/>
          <w:kern w:val="0"/>
          <w:sz w:val="28"/>
          <w:szCs w:val="28"/>
        </w:rPr>
        <w:t>有</w:t>
      </w:r>
      <w:r>
        <w:rPr>
          <w:rFonts w:hint="eastAsia" w:ascii="方正仿宋_GBK" w:hAnsi="方正仿宋_GBK" w:cs="方正仿宋_GBK"/>
          <w:color w:val="auto"/>
          <w:kern w:val="0"/>
          <w:sz w:val="28"/>
          <w:szCs w:val="28"/>
        </w:rPr>
        <w:t>不当言行和疏于管理情况。</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17.是否存在私自将教室等教学资源用于谋取个人利益、组织违背党的路线方针政策的宣传活动等不当用途。</w:t>
      </w:r>
    </w:p>
    <w:p>
      <w:pPr>
        <w:spacing w:line="360" w:lineRule="auto"/>
        <w:jc w:val="left"/>
        <w:textAlignment w:val="baseline"/>
        <w:rPr>
          <w:rFonts w:ascii="方正仿宋_GBK" w:hAnsi="方正仿宋_GBK" w:cs="方正仿宋_GBK"/>
          <w:color w:val="auto"/>
          <w:kern w:val="0"/>
          <w:sz w:val="28"/>
          <w:szCs w:val="28"/>
        </w:rPr>
      </w:pPr>
      <w:r>
        <w:rPr>
          <w:rFonts w:hint="eastAsia" w:ascii="方正仿宋_GBK" w:hAnsi="方正仿宋_GBK" w:cs="方正仿宋_GBK"/>
          <w:color w:val="auto"/>
          <w:kern w:val="0"/>
          <w:sz w:val="28"/>
          <w:szCs w:val="28"/>
        </w:rPr>
        <w:t>18. 是否存在指导本科生毕业论文写作中有学术不端行为，如弄虚作假，抄袭剽窃、代写代发、一稿多投、篡改科学数据等行为。</w:t>
      </w:r>
    </w:p>
    <w:p>
      <w:pPr>
        <w:shd w:val="clear" w:color="auto" w:fill="FFFFFF"/>
        <w:spacing w:line="360" w:lineRule="auto"/>
        <w:ind w:firstLine="555"/>
        <w:jc w:val="left"/>
        <w:textAlignment w:val="baseline"/>
        <w:rPr>
          <w:bCs w:val="0"/>
          <w:color w:val="auto"/>
          <w:sz w:val="28"/>
          <w:szCs w:val="28"/>
        </w:rPr>
        <w:sectPr>
          <w:footerReference r:id="rId3" w:type="default"/>
          <w:pgSz w:w="11906" w:h="16838"/>
          <w:pgMar w:top="2041" w:right="1531" w:bottom="2041" w:left="1531" w:header="851" w:footer="992" w:gutter="0"/>
          <w:pgNumType w:fmt="numberInDash"/>
          <w:cols w:space="0" w:num="1"/>
          <w:titlePg/>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5FFC6E1-4E00-4E98-B23D-096ACFA1D18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2" w:fontKey="{9C8351AB-04C2-45FA-B84E-A5851242EE14}"/>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39752630"/>
                          </w:sdtPr>
                          <w:sdtEndPr>
                            <w:rPr>
                              <w:sz w:val="28"/>
                              <w:szCs w:val="28"/>
                            </w:rPr>
                          </w:sdtEndPr>
                          <w:sdtContent>
                            <w:p>
                              <w:pPr>
                                <w:pStyle w:val="2"/>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sdt>
                    <w:sdtPr>
                      <w:id w:val="-939752630"/>
                    </w:sdtPr>
                    <w:sdtEndPr>
                      <w:rPr>
                        <w:sz w:val="28"/>
                        <w:szCs w:val="28"/>
                      </w:rPr>
                    </w:sdtEndPr>
                    <w:sdtContent>
                      <w:p>
                        <w:pPr>
                          <w:pStyle w:val="2"/>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6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2020-09-07T03:16:52Z</dcterms:created>
  <dc:creator>Lemovo01</dc:creator>
  <cp:lastModifiedBy>一朵云的夏☀</cp:lastModifiedBy>
  <dcterms:modified xsi:type="dcterms:W3CDTF">2020-09-07T03:17:05Z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